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425</w:t>
      </w:r>
    </w:p>
    <w:p>
      <w:r>
        <w:t>Bundesgericht (BGE), 2011-03-03, FR</w:t>
      </w:r>
    </w:p>
    <w:p>
      <w:r>
        <w:rPr>
          <w:b/>
        </w:rPr>
        <w:t xml:space="preserve">Quelle: </w:t>
      </w:r>
      <w:r>
        <w:t>https://mcp.opencaselaw.ch/entscheid/bge_138 I 425</w:t>
      </w:r>
    </w:p>
    <w:p>
      <w:r>
        <w:t>FR: ATF 138 I 425</w:t>
      </w:r>
    </w:p>
    <w:p>
      <w:r>
        <w:t>IT: DTF 138 I 425</w:t>
      </w:r>
    </w:p>
    <w:p>
      <w:pPr>
        <w:pStyle w:val="Heading2"/>
      </w:pPr>
      <w:r>
        <w:t>Regeste</w:t>
      </w:r>
    </w:p>
    <w:p>
      <w:r>
        <w:t>Regeste Anspruch auf ein unabhängiges und unparteiisches Gericht, Vorführung als Ausstandsgrund? Art. 30 Abs. 1 BV, Art. 6 Ziff. 1 EMRK, Art. 56 und 232 Abs. 1 StPO. Entscheidet der Präsident des Berufungsgerichts während der Berufungsverhandlung, die in Haft zu setzende Person vorführen zu lassen, muss er deswegen für den Sachentscheid nicht in den Ausstand treten (E. 4).</w:t>
      </w:r>
    </w:p>
    <w:p>
      <w:pPr>
        <w:pStyle w:val="Heading2"/>
      </w:pPr>
      <w:r>
        <w:t>Erwägungen</w:t>
      </w:r>
    </w:p>
    <w:p>
      <w:r>
        <w:rPr>
          <w:b/>
        </w:rPr>
        <w:t>E. 4.1</w:t>
      </w:r>
    </w:p>
    <w:p>
      <w:r>
        <w:t>Le recourant se plaint de violation des art. 30 al. 1 Cst. , 6 par. 1 CEDH et 56 let. f CPP. En bref, il fait valoir qu'en invoquant la peine encourue en appel comme nouveau motif de détention après avoir entendu le Ministère public et les avocats de ses coaccusés et avant de lui accorder la parole, le Président Jacques Delieutraz a donné l'apparence d'une prévention. De même, en retenant que le risque de fuite justifiant sa mise en détention pour des motifs de sûreté était accru par la sanction requise en appel, il a procédé à un examen se confondant avec celui de la culpabilité, en violation de la garantie d'un juge impartial.</w:t>
      </w:r>
    </w:p>
    <w:p>
      <w:r>
        <w:rPr>
          <w:b/>
        </w:rPr>
        <w:t>E. 4.2.1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136 III 605 consid. 3.2.1 p. 608; ATF 134 I 20 consid. 4.2 p. 21, ATF 134 I 238 consid. 2.1 p. 240 et les arrêts cités; ATF 131 I 24 consid. 1.1 p. 25). Les motifs de récusation mentionnés à l' art. 56 CPP concrétisent ces garanties. La récusation d'un magistrat s'impose en particulier lorsque certains motifs, notamment un rapport d'amitié étroit ou d'inimitié avec une partie ou son conseil, sont de nature à le rendre suspect de prévention ( art. 56 let . f CPP). Cette dernière disposition a la portée d'une clause générale (cf. arrêt 6B_621/2011 du 19 décembre 2011 consid. 2.2 et les références citées). BGE 138 I 425 S. 429 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par. 1 CEDH ( ATF 131 I 113 consid. 3.4 p. 117;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 En matière de procédure pénale, le Tribunal fédéral a été amené à se prononcer sur la compatibilité de certaines situations avec les art. 30 al. 1 Cst. et 6 par. 1 CEDH. Il a sanctionné le cumul des fonctions de juge du renvoi et de juge du fond ( ATF 114 Ia 50 consid. 4 et 5 p. 60 ss), ainsi que de juge du mandat de répression et de juge du fond ( ATF 114 Ia 143 consid. 7b p. 151 ss). En revanche, le rejet d'une demande d'assistance judiciaire pour défaut de chances de succès ne constitue pas un motif suffisant pour obtenir la récusation du juge du fond ( ATF 131 I 113 consid. 3.7 p. 120). Le Tribunal fédéral n'a pas non plus condamné l'union personnelle du juge de la détention et du juge du fond, les questions à résoudre étant suffisamment distinctes ( ATF 117 Ia 182 consid. 3b p. 184 ss). Sur cette question particulière, le Tribunal fédéral a exposé que le fait que le juge du fond ait eu précédemment à s'occuper de la cause ne constitue pas à lui seul un motif de récusation, du moins lorsque les problèmes de fait et de droit soulevés restent entiers. En d'autres termes, il n'y a pas d'inconvénient à la participation à l'audience de jugement du magistrat compétent pour se prononcer sur la détention préventive lorsque l'issue du procès reste suffisamment incertaine pour qu'il n'y ait pas apparence de prévention. Il faut donc se demander quelles sont les compétences de l'un et de l'autre. Le juge de la détention doit examiner s'il se justifie d'ordonner celle-ci ou de la prolonger, soit s'il existe à la charge du prévenu des charges suffisantes de la commission d'une infraction ( dringender Tatverdacht ) et s'il BGE 138 I 425 S. 430 présente un danger pour la sécurité et l'ordre public, un risque de fuite ou de collusion. Il incombe en revanche au juge du fond de déterminer si l'accusé s'est bien rendu coupable des faits qui lui sont reprochés et, en cas de réponse affirmative, quelle peine il y a lieu de lui infliger. La différence essentielle est que le juge de la détention préventive n'a pas à se prononcer sur le degré de culpabilité du délinquant. On ne saurait donc affirmer que dans les cas où le juge du fond a eu à se prononcer sur le problème de la détention préventive, le sort de l'accusé apparaît scellé ou du moins qu'il y a risque de prévention. Il suit de là qu'en principe, il n'apparaît pas contraire à la Constitution et à la Convention que le même magistrat exerce les deux fonctions.</w:t>
      </w:r>
    </w:p>
    <w:p>
      <w:r>
        <w:rPr>
          <w:b/>
        </w:rPr>
        <w:t>E. 4.2.2</w:t>
      </w:r>
    </w:p>
    <w:p>
      <w:r>
        <w:t>A l'instar de la jurisprudence du Tribunal fédéral, la jurisprudence de la Cour européenne des droits de l'homme (CourEDH) n'a jamais considéré que l'union personnelle du juge de la détention et du juge du fond était d'emblée contraire à l' art. 6 par. 1 CEDH et rendait ainsi le juge récusable, réaffirmant récemment que le fait qu'un juge ait pris des décisions avant le procès, notamment au sujet de la détention provisoire, ne justifie pas des appréhensions quant à son impartialité (cf. arrêt de la CourEDH Alony Kate contre Espagne du 17 janvier 2012 cf. § 52; voir également les arrêts de la CourEDH Hauschildt contre Danemark du 24 mai 1989 § 50 et Sainte-Marie contre France du 16 décembre 1992 § 32). La question portant sur le placement en détention provisoire ne se confond pas avec la question portant sur la culpabilité de l'intéressé. On ne saurait assimiler des soupçons à un constat formel de culpabilité, même si des circonstances particulières peuvent, dans une affaire donnée, mener à une conclusion différente (arrêt de la CourEDH Cardona Serrat contre Espagne du 26 octobre 2010 § 31). La CourEDH a en particulier admis des doutes quant à l'impartialité du tribunal incompatible avec l' art. 6 CEDH dans le cas d'un juge danois, également chargé du fond de l'affaire, qui s'était préalablement prononcé sur la détention provisoire, laquelle était subordonnée à la condition légale de l'existence de "soupçons particulièrement renforcés" que le prévenu ait commis l'infraction (arrêt de la CourEDH Hauschildt, § 50-52).</w:t>
      </w:r>
    </w:p>
    <w:p>
      <w:r>
        <w:rPr>
          <w:b/>
        </w:rPr>
        <w:t>E. 4.2.3</w:t>
      </w:r>
    </w:p>
    <w:p>
      <w:r>
        <w:t>Au vu de la jurisprudence du Tribunal fédéral et de la CourEDH qui considère qu'il faut trancher de cas en cas, la doctrine, divisée sur la question de la compatibilité du cumul des fonctions du juge de la détention et du juge du fond, en particulier de la compatibilité de l' art. 232 CPP avec l' art. 6 par. 1 CEDH , n'apporte pas d'éclairage BGE 138 I 425 S. 431 déterminant. Certains auteurs semblent critiques (PIQUEREZ/MACALUSO, Procédure pénale suisse, 3 e éd. 2011, n° 650 p. 22; FRANÇOIS PAYCHÈRE, Privation de liberté et pouvoirs du juge d'appel: vers un conflit entre la CEDH et le nouveau CPP suisse?, in SJ 2009 II p. 292; ALAIN MACALUSO, Quelques aspects des procédures relatives à la détention avant jugement dans le CPP suisse, in forum poenale 2011 p. 313 ss, spéc. 319/320; RICHARD CALAME, in Commentaire romand, Code de procédure pénale suisse, 2011, n° 3 ad art. 388 CPP qui affirme à tort que selon la jurisprudence établie, le juge de fond ne peut être identique au juge de la détention). D'autres tiennent un tel cumul pour conforme à l' art. 6 CEDH au vu de l'examen sommaire des charges effectué pour la mise en détention et autant que le juge se limite à un tel examen (MARKUS BOOG, in Basler Kommentar, Schweizerische Strafprozessordnung, 2011, n° 27 ad art. 56 CPP avec renvoi à l'arrêt 117 Ia 182 du 21 août 1991; MARTIN ZIEGLER, ibidem, n° 1 ad art. 388 CPP ; GOLDSCHMID/MAURER/SOLLBERGER, Kommentierte Textausgabe zur Schweizerischen Strafprozessordnung [StPO] vom 5. Oktober 2007, 2008, p. 47 avec renvoi à la décision de la CourEDH Hauschildt contre Danemark ; DANIEL LOGOZ, in Commentaire romand, Code de procédure pénale suisse, 2011, n° 2 ad art. 232 CPP ; ANDREAS J. KELLER, in Kommentar zur Schweizerischen Strafprozessordnung [StPO], 2010, n° 34 ad art. 56 CPP ; NIKLAUS SCHMID, Handbuch des schweizerischen Strafprozessrechts, 2009, n° 514 p. 198; REGINA KIENER, Richterliche Unabhängigkeit, 2001, p. 155 ss; FRÉDÉRIC SUDRE, Droit européen et international des droits de l'homme, Paris 2011, p. 441; ROBERT LEVI, Zum Einfluss der Europäischen Menschenrechtskonvention auf das kantonale Prozessrecht - Erwartungen und Ergebnisse, in RPS 106/1989 p. 233).</w:t>
      </w:r>
    </w:p>
    <w:p>
      <w:r>
        <w:rPr>
          <w:b/>
        </w:rPr>
        <w:t>E. 4.3</w:t>
      </w:r>
    </w:p>
    <w:p>
      <w:r>
        <w:t>Au cours des débats tenus le 29 septembre 2011, le Président Jacques Delieutraz a décerné, après les plaidoiries, un mandat d'amener à l'encontre du recourant en vue d'une éventuelle décision de détention pour des motifs de sûreté, considérant que le risque de fuite était accru par la peine encourue. La détention pour des motifs de sûreté en tant que telle n'a été ordonnée que le 30 septembre suivant, lors de l'ouverture en séance publique du dispositif de l'arrêt au fond. Il convient ainsi de distinguer entre le mandat d'amener décerné par le Président Jacques Delieutraz sur la base de l' art. 232 al. 1 CPP et la décision de détention ordonnée en application de l' art. 232 al. 2 CPP par la Chambre pénale d'appel subséquemment au verdict de culpabilité. Le recours formé contre cette décision a été rejeté par le Tribunal fédéral qui a admis l'existence d'un risque de fuite (arrêt BGE 138 I 425 S. 432 1B_623/2011). En d'autres termes, il s'agit de déterminer si la décision de la direction de la procédure de décerner un mandat d'amener - qui ne s'apparente pas encore à une décision formelle de mise en détention pour des motifs de sûreté - lors des débats d'appel a pour conséquence d'entraîner la récusation du magistrat qui l'a rendue si celui-ci participe ensuite à la décision sur le fond.</w:t>
      </w:r>
    </w:p>
    <w:p>
      <w:r>
        <w:rPr>
          <w:b/>
        </w:rPr>
        <w:t>E. 4.4</w:t>
      </w:r>
    </w:p>
    <w:p>
      <w:r>
        <w:t>Selon l' art. 232 al. 1 CPP , la direction de la procédure fait amener immédiatement le prévenu par la police et l'interroge si des motifs de détention n'apparaissent que pendant la procédure devant la juridiction d'appel. En d'autres termes, la direction de la procédure décerne un mandat d'amener. Les conditions présidant à la délivrance d'un mandat d'amener sont prévues à l' art. 207 al. 1 CPP . En particulier, si un motif de détention pour des motifs de sûreté survient pendant la procédure d'appel, la direction de la procédure peut décerner un mandat d'amener à condition que la personne concernée soit fortement soupçonnée d'avoir commis un crime ou un délit et qu'il y ait lieu de présumer des motifs de détention à l'encontre de celle-ci ( art. 207 al. 1 let . d CPP). En tant que l' art. 207 al. 1 let . d CPP pose comme préalable à la délivrance d'un mandat d'amener que le prévenu soit fortement soupçonné d'avoir commis un crime ou un délit, ses conditions d'application semblent se recouper avec celles auxquelles l' art. 221 al. 1 CPP subordonne la détention pour des motifs de sûreté. Selon cette dernière disposition, la détention pour des motifs de sûreté ne peut notamment être ordonnée qu'à la condition que le prévenu soit fortement soupçonné d'avoir commis un crime ou un délit. Pour autant, la délivrance d'un mandat d'amener et la décision sur la détention pour des motifs de sûreté n'assujettissent pas le juge au même pouvoir d'examen. Décerné en principe par écrit, le mandat d'amener peut l'être oralement en cas d'urgence et à condition d'être confirmé par écrit ( art. 208 al. 1 CPP ). Il contient les mêmes indications que le mandat de comparution ( art. 201 al. 2 CPP ) ainsi que la mention de l'autorisation expresse donnée à la police de recourir à la force si nécessaire et de pénétrer dans les bâtiments, les habitations et les autres locaux non publics pour exécuter le mandat ( art. 208 al. 2 CPP ). Il devra donc désigner l'autorité qui l'a décerné et les personnes qui exécuteront l'acte de procédure, la personne citée à comparaître et la qualité en laquelle elle doit participer à l'acte de procédure, le motif du mandat, pour autant que le but de l'instruction ne s'oppose pas à cette indication, le lieu, BGE 138 I 425 S. 433 la date et l'heure de la comparution, la sommation de se présenter personnellement, les conséquences juridiques d'une absence non excusée, la date de son établissement et la signature de la personne qui l'a décerné ( art. 201 al. 2 CPP ). Dès lors qu'il suffit que le mandat d'amener indique le motif pour lequel il est décerné ( art. 201 al. 2 let . c par renvoi de l' art. 208 al. 2 CPP ), ses exigences de motivation sont moindres que celles qui président au prononcé d'une décision de détention. En outre, la finalité du mandat d'amener n'est pas la même que celle de la détention pour des motifs de sûreté en ce sens que celui-là vise à assurer la présence du prévenu jusqu'à ce qu'une décision soit prise sur la détention et permet en outre qu'il soit interrogé sur d'éventuels motifs de détention pour respecter son droit d'être entendu. Aucune décision n'est véritablement prise à ce stade sur la détention. En tant que le mandat d'amener constitue l'étape préalable à la future décision de confirmation ou d'infirmation de la détention pour motifs de sûreté, il est le résultat d'un examen très sommaire qui n'est en rien comparable avec celui approfondi auquel les juges de la juridiction du fond se livrent. En dépit de la terminologie légale qui subordonne la délivrance d'un mandat d'amener à la condition que le prévenu soit fortement soupçonné d'avoir commis un crime ou un délit et qui pourrait donner à penser, abstraitement, que la marge distinguant le prononcé d'un mandat d'amener de l'énoncé d'un verdict de culpabilité est infime, l'examen des circonstances concrètes présidant à l'une et à l'autre décision est fondamentalement différent. La première est très succincte et ne comporte aucune appréciation anticipée de la prévention qui aille si loin que le juge serait tenu par la suite dans l'examen de sa décision au fond par sa précédente appréciation. Pour s'en convaincre, il suffit de lire en l'espèce la motivation du mandat d'amener qui tient en trois lignes: "l'apparition de motif de détention nouveau en lien avec des charges qui se sont alourdies durant l'instruction du jugement d'appel, le risque de fuite étant accru par la peine risquant d'être prononcée". A l'instar des principes posés par la jurisprudence du Tribunal fédéral et de la CourEDH, on ne saurait considérer que les soupçons fondant la délivrance d'un mandat d'amener en vue d'une éventuelle détention dans l'attente du jugement au fond sont assimilables à un constat de culpabilité. Dans ce dernier cas, les magistrats examinent la réalisation des conditions objectives et subjectives d'une infraction. S'agissant d'établir la culpabilité de l'auteur, ils prennent en considération les antécédents et la situation personnelle de l'auteur BGE 138 I 425 S. 434 ainsi que l'effet de la peine sur son avenir ( art. 47 al. 1 CP ). La culpabilité elle-même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L'ensemble de ces éléments n'est pas examiné à l'énoncé d'un mandat d'amener, la condition que le détenu soit fortement soupçonné d'avoir commis un crime ou un délit servant strictement à éviter la délivrance arbitraire de tels mandats. L'appréciation par la direction de la procédure des conditions posées au prononcé d'un mandat d'amener ne se confond ainsi nullement avec l'examen de la culpabilité du recourant.</w:t>
      </w:r>
    </w:p>
    <w:p>
      <w:r>
        <w:rPr>
          <w:b/>
        </w:rPr>
        <w:t>E. 4.5</w:t>
      </w:r>
    </w:p>
    <w:p>
      <w:r>
        <w:t>Au demeurant, il est constant qu'après avoir clôturé la procédure probatoire, le Président Jacques Delieutraz a fait procéder aux plaidoiries des cinq coprévenus et de la partie plaignante avant de donner la parole au Ministère public - lequel a requis une peine privative de liberté de cinq ans à l'encontre du recourant - puis aux quatre coprévenus du recourant qui ont répliqué. C'est alors que le magistrat a déclaré qu'il entendait faire application de l' art. 232 al. 1 CPP "au motif de l'apparition de motif de détention nouveau en lien avec les charges qui se sont alourdies durant l'instruction de jugement, le risque de fuite étant accru par la peine risquant d'être prononcée". Ce faisant, il s'est borné à prononcer les mesures nécessaires à la sauvegarde des conclusions prises à l'issue des débats d'appel par le Ministère public. Pour autant, il n'a procédé à aucune évaluation de la culpabilité, respectivement de la peine imputable au recourant.</w:t>
      </w:r>
    </w:p>
    <w:p>
      <w:r>
        <w:rPr>
          <w:b/>
        </w:rPr>
        <w:t>E. 4.6</w:t>
      </w:r>
    </w:p>
    <w:p>
      <w:r>
        <w:t>Il s'ensuit que ni la délivrance d'un mandat d'amener par le Président Jacques Delieutraz, pas plus que les circonstances concrètes dans lesquelles celui-là a été décerné, n'ont donné l'apparence de prévention et constitué un motif de récusation. Le grief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